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3796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allows us to ask:</w:t>
      </w:r>
      <w:r>
        <w:t xml:space="preserve"> </w:t>
      </w:r>
      <w:r>
        <w:rPr>
          <w:i/>
        </w:rP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4090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9 of 20 cases, both the optimal climate variable and time window were identical across growth metrics (e.g., Fig. S5).</w:t>
      </w:r>
      <w:r>
        <w:t xml:space="preserve"> </w:t>
      </w:r>
      <w:r>
        <w:t xml:space="preserve">In 9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27,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84 of the 202 (42%) species-variable combinations for which they were tested.</w:t>
      </w:r>
      <w:r>
        <w:t xml:space="preserve"> </w:t>
      </w:r>
      <w:r>
        <w:t xml:space="preserve">For precipitation variables, interactions were significant for 46% of interactions with</w:t>
      </w:r>
      <w:r>
        <w:t xml:space="preserve"> </w:t>
      </w:r>
      <m:oMath>
        <m:r>
          <m:t>R</m:t>
        </m:r>
        <m:r>
          <m:t>W</m:t>
        </m:r>
      </m:oMath>
      <w:r>
        <w:t xml:space="preserve"> </w:t>
      </w:r>
      <w:r>
        <w:t xml:space="preserve">as the growth metric and for 43% with</w:t>
      </w:r>
      <w:r>
        <w:t xml:space="preserve"> </w:t>
      </w:r>
      <m:oMath>
        <m:r>
          <m:t>B</m:t>
        </m:r>
        <m:r>
          <m:t>A</m:t>
        </m:r>
        <m:r>
          <m:t>I</m:t>
        </m:r>
      </m:oMath>
      <w:r>
        <w:t xml:space="preserve"> </w:t>
      </w:r>
      <w:r>
        <w:t xml:space="preserve">as the growth metric (Table S6).</w:t>
      </w:r>
      <w:r>
        <w:t xml:space="preserve"> </w:t>
      </w:r>
      <w:r>
        <w:t xml:space="preserve">The majority of these interactions were positive (75%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5 for</w:t>
      </w:r>
      <w:r>
        <w:t xml:space="preserve"> </w:t>
      </w:r>
      <m:oMath>
        <m:r>
          <m:t>B</m:t>
        </m:r>
        <m:r>
          <m:t>A</m:t>
        </m:r>
        <m:r>
          <m:t>I</m:t>
        </m:r>
      </m:oMath>
      <w:r>
        <w:t xml:space="preserve">), only a minority (n=1 for</w:t>
      </w:r>
      <w:r>
        <w:t xml:space="preserve"> </w:t>
      </w:r>
      <m:oMath>
        <m:r>
          <m:t>R</m:t>
        </m:r>
        <m:r>
          <m:t>W</m:t>
        </m:r>
      </m:oMath>
      <w:r>
        <w:t xml:space="preserve">, 2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34% of cases with</w:t>
      </w:r>
      <w:r>
        <w:t xml:space="preserve"> </w:t>
      </w:r>
      <m:oMath>
        <m:r>
          <m:t>R</m:t>
        </m:r>
        <m:r>
          <m:t>W</m:t>
        </m:r>
      </m:oMath>
      <w:r>
        <w:t xml:space="preserve"> </w:t>
      </w:r>
      <w:r>
        <w:t xml:space="preserve">as the growth metric and for 41%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11 significant interactions negative with</w:t>
      </w:r>
      <w:r>
        <w:t xml:space="preserve"> </w:t>
      </w:r>
      <m:oMath>
        <m:r>
          <m:t>R</m:t>
        </m:r>
        <m:r>
          <m:t>W</m:t>
        </m:r>
      </m:oMath>
      <w:r>
        <w:t xml:space="preserve"> </w:t>
      </w:r>
      <w:r>
        <w:t xml:space="preserve">as the growth metric and 8 of 13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or table on climate - DBH interactions?</w:t>
      </w:r>
      <w:r>
        <w:t xml:space="preserve"> </w:t>
      </w:r>
      <w:r>
        <w:t xml:space="preserve">(</w:t>
      </w:r>
      <w:r>
        <w:rPr>
          <w:i/>
        </w:rPr>
        <w:t xml:space="preserve">See</w:t>
      </w:r>
      <w:r>
        <w:rPr>
          <w:i/>
        </w:rPr>
        <w:t xml:space="preserve"> </w:t>
      </w:r>
      <w:hyperlink r:id="rId39">
        <w:r>
          <w:rPr>
            <w:rStyle w:val="Hyperlink"/>
            <w:i/>
          </w:rPr>
          <w:t xml:space="preserve">ISSUE #107 in ForestGEO-climate-sensitivity</w:t>
        </w:r>
      </w:hyperlink>
      <w:r>
        <w:t xml:space="preserve">)</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5943600"/>
            <wp:effectExtent b="0" l="0" r="0" t="0"/>
            <wp:docPr descr="**Figure 6 | (Responses to year, for species tested). For each species (color-coded as in Fig. 4), relationships are plotted if included in top model. For each relationship shown, other terms in the model are held constant at their median."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(Responses to year, for species tested). For each species (color-coded as in Fig. 4), relationships are plotted if included in top model. For each relationship shown, other terms in the model are held constant at their median.</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slowly changing environmental drivers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It is notable that growth rates of most species declined…</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5">
        <w:r>
          <w:rPr>
            <w:rStyle w:val="Hyperlink"/>
          </w:rPr>
          <w:t xml:space="preserve">https://doi.org/10.1088/1748-9326/11/11/114007</w:t>
        </w:r>
      </w:hyperlink>
    </w:p>
    <w:bookmarkEnd w:id="166"/>
    <w:bookmarkStart w:id="16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7">
        <w:r>
          <w:rPr>
            <w:rStyle w:val="Hyperlink"/>
          </w:rPr>
          <w:t xml:space="preserve">https://doi.org/10.1111/jvs.12025</w:t>
        </w:r>
      </w:hyperlink>
    </w:p>
    <w:bookmarkEnd w:id="168"/>
    <w:bookmarkStart w:id="17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9">
        <w:r>
          <w:rPr>
            <w:rStyle w:val="Hyperlink"/>
          </w:rPr>
          <w:t xml:space="preserve">https://doi.org/10.1016/j.agrformet.2017.08.007</w:t>
        </w:r>
      </w:hyperlink>
    </w:p>
    <w:bookmarkEnd w:id="170"/>
    <w:bookmarkStart w:id="17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1">
        <w:r>
          <w:rPr>
            <w:rStyle w:val="Hyperlink"/>
          </w:rPr>
          <w:t xml:space="preserve">https://doi.org/10.1111/gcb.14120</w:t>
        </w:r>
      </w:hyperlink>
    </w:p>
    <w:bookmarkEnd w:id="172"/>
    <w:bookmarkStart w:id="17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3">
        <w:r>
          <w:rPr>
            <w:rStyle w:val="Hyperlink"/>
          </w:rPr>
          <w:t xml:space="preserve">https://doi.org/10.5194/cp-9-1481-2013</w:t>
        </w:r>
      </w:hyperlink>
    </w:p>
    <w:bookmarkEnd w:id="174"/>
    <w:bookmarkStart w:id="17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5">
        <w:r>
          <w:rPr>
            <w:rStyle w:val="Hyperlink"/>
          </w:rPr>
          <w:t xml:space="preserve">https://doi.org/10.1016/j.agrformet.2017.07.015</w:t>
        </w:r>
      </w:hyperlink>
    </w:p>
    <w:bookmarkEnd w:id="176"/>
    <w:bookmarkStart w:id="17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7">
        <w:r>
          <w:rPr>
            <w:rStyle w:val="Hyperlink"/>
          </w:rPr>
          <w:t xml:space="preserve">https://doi.org/10.1111/2041-210X.12590</w:t>
        </w:r>
      </w:hyperlink>
    </w:p>
    <w:bookmarkEnd w:id="178"/>
    <w:bookmarkStart w:id="18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1">
        <w:r>
          <w:rPr>
            <w:rStyle w:val="Hyperlink"/>
          </w:rPr>
          <w:t xml:space="preserve">https://doi.org/10.1111/nph.16866</w:t>
        </w:r>
      </w:hyperlink>
    </w:p>
    <w:bookmarkEnd w:id="182"/>
    <w:bookmarkStart w:id="18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3">
        <w:r>
          <w:rPr>
            <w:rStyle w:val="Hyperlink"/>
          </w:rPr>
          <w:t xml:space="preserve">https://doi.org/10.1038/nclimate1693</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2021-01-06T15:32:44Z</dcterms:created>
  <dcterms:modified xsi:type="dcterms:W3CDTF">2021-01-06T15:32:44Z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